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6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6623"/>
        <w:gridCol w:w="4833"/>
      </w:tblGrid>
      <w:tr w:rsidR="00773C4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6623" w:type="dxa"/>
          </w:tcPr>
          <w:p w:rsidR="00773C49" w:rsidRDefault="00773C49">
            <w:pPr>
              <w:pStyle w:val="coBody"/>
              <w:jc w:val="right"/>
              <w:rPr>
                <w:noProof/>
                <w:sz w:val="22"/>
              </w:rPr>
            </w:pPr>
          </w:p>
        </w:tc>
        <w:tc>
          <w:tcPr>
            <w:tcW w:w="4833" w:type="dxa"/>
          </w:tcPr>
          <w:p w:rsidR="00773C49" w:rsidRDefault="00773C49" w:rsidP="008D34B1">
            <w:pPr>
              <w:pStyle w:val="coBody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CED</w:t>
            </w:r>
            <w:r w:rsidR="008D34B1">
              <w:rPr>
                <w:b/>
                <w:sz w:val="22"/>
              </w:rPr>
              <w:t>1478</w:t>
            </w:r>
            <w:r w:rsidR="00252391">
              <w:rPr>
                <w:b/>
                <w:sz w:val="22"/>
              </w:rPr>
              <w:t xml:space="preserve"> – </w:t>
            </w:r>
            <w:r w:rsidR="008D34B1">
              <w:rPr>
                <w:b/>
                <w:sz w:val="22"/>
              </w:rPr>
              <w:t>Italian for Travellers</w:t>
            </w:r>
          </w:p>
        </w:tc>
      </w:tr>
      <w:tr w:rsidR="00773C49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6623" w:type="dxa"/>
          </w:tcPr>
          <w:p w:rsidR="00773C49" w:rsidRDefault="008A0476">
            <w:pPr>
              <w:pStyle w:val="coBody"/>
              <w:rPr>
                <w:sz w:val="22"/>
              </w:rPr>
            </w:pPr>
            <w:r>
              <w:rPr>
                <w:noProof/>
                <w:sz w:val="22"/>
                <w:lang w:val="en-CA" w:eastAsia="en-CA"/>
              </w:rPr>
              <w:drawing>
                <wp:inline distT="0" distB="0" distL="0" distR="0">
                  <wp:extent cx="841375" cy="1166495"/>
                  <wp:effectExtent l="0" t="0" r="0" b="0"/>
                  <wp:docPr id="1" name="Picture 1" descr="sc-b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-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773C49" w:rsidRDefault="00773C49">
            <w:pPr>
              <w:pStyle w:val="coBody"/>
              <w:rPr>
                <w:b/>
                <w:sz w:val="22"/>
              </w:rPr>
            </w:pPr>
          </w:p>
          <w:p w:rsidR="00773C49" w:rsidRDefault="00773C49">
            <w:pPr>
              <w:pStyle w:val="coBody"/>
              <w:rPr>
                <w:b/>
                <w:sz w:val="22"/>
              </w:rPr>
            </w:pPr>
          </w:p>
        </w:tc>
      </w:tr>
      <w:tr w:rsidR="00773C4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6623" w:type="dxa"/>
          </w:tcPr>
          <w:p w:rsidR="00773C49" w:rsidRDefault="00773C49" w:rsidP="008D34B1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INSTRUCTIONAL HOURS:</w:t>
            </w:r>
            <w:r w:rsidR="00252391">
              <w:rPr>
                <w:b/>
                <w:bCs/>
                <w:sz w:val="22"/>
              </w:rPr>
              <w:t xml:space="preserve"> </w:t>
            </w:r>
            <w:r w:rsidR="008D34B1">
              <w:rPr>
                <w:b/>
                <w:bCs/>
                <w:sz w:val="22"/>
              </w:rPr>
              <w:t>16</w:t>
            </w:r>
          </w:p>
        </w:tc>
        <w:tc>
          <w:tcPr>
            <w:tcW w:w="4833" w:type="dxa"/>
          </w:tcPr>
          <w:p w:rsidR="00773C49" w:rsidRDefault="00773C49">
            <w:pPr>
              <w:pStyle w:val="coBody"/>
              <w:rPr>
                <w:sz w:val="22"/>
              </w:rPr>
            </w:pPr>
          </w:p>
        </w:tc>
      </w:tr>
      <w:tr w:rsidR="00773C49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6623" w:type="dxa"/>
          </w:tcPr>
          <w:p w:rsidR="00773C49" w:rsidRDefault="00773C49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RECOMMENDED PRE-REQUISITE(S):</w:t>
            </w:r>
            <w:r w:rsidR="00252391">
              <w:rPr>
                <w:b/>
                <w:bCs/>
                <w:sz w:val="22"/>
              </w:rPr>
              <w:t xml:space="preserve"> N/A</w:t>
            </w:r>
          </w:p>
        </w:tc>
        <w:tc>
          <w:tcPr>
            <w:tcW w:w="4833" w:type="dxa"/>
          </w:tcPr>
          <w:p w:rsidR="00773C49" w:rsidRDefault="00773C49">
            <w:pPr>
              <w:pStyle w:val="coBody"/>
              <w:rPr>
                <w:sz w:val="22"/>
              </w:rPr>
            </w:pPr>
          </w:p>
        </w:tc>
      </w:tr>
      <w:tr w:rsidR="00773C4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6623" w:type="dxa"/>
          </w:tcPr>
          <w:p w:rsidR="00773C49" w:rsidRDefault="00773C49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CO-REQUISITES:</w:t>
            </w:r>
            <w:r w:rsidR="00252391">
              <w:rPr>
                <w:b/>
                <w:bCs/>
                <w:sz w:val="22"/>
              </w:rPr>
              <w:t xml:space="preserve"> N/A</w:t>
            </w:r>
          </w:p>
        </w:tc>
        <w:tc>
          <w:tcPr>
            <w:tcW w:w="4833" w:type="dxa"/>
          </w:tcPr>
          <w:p w:rsidR="00773C49" w:rsidRDefault="00773C49">
            <w:pPr>
              <w:pStyle w:val="coBody"/>
              <w:rPr>
                <w:sz w:val="22"/>
              </w:rPr>
            </w:pPr>
          </w:p>
        </w:tc>
      </w:tr>
      <w:tr w:rsidR="00773C4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6623" w:type="dxa"/>
          </w:tcPr>
          <w:p w:rsidR="00773C49" w:rsidRDefault="00773C49">
            <w:pPr>
              <w:pStyle w:val="coBody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APPROVED FOR USE IN ACADEMIC SEMESTERS</w:t>
            </w:r>
            <w:r w:rsidR="00252391">
              <w:rPr>
                <w:b/>
                <w:bCs/>
                <w:sz w:val="22"/>
              </w:rPr>
              <w:t>: 2012-2013</w:t>
            </w:r>
          </w:p>
        </w:tc>
        <w:tc>
          <w:tcPr>
            <w:tcW w:w="4833" w:type="dxa"/>
          </w:tcPr>
          <w:p w:rsidR="00773C49" w:rsidRDefault="00773C49">
            <w:pPr>
              <w:pStyle w:val="coBody"/>
              <w:rPr>
                <w:b/>
                <w:bCs/>
                <w:sz w:val="22"/>
              </w:rPr>
            </w:pPr>
          </w:p>
        </w:tc>
      </w:tr>
    </w:tbl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  <w:r>
        <w:rPr>
          <w:b/>
          <w:bCs/>
          <w:sz w:val="22"/>
          <w:u w:val="single"/>
        </w:rPr>
        <w:t>COURSE DESCRIPTION</w:t>
      </w:r>
      <w:r>
        <w:rPr>
          <w:sz w:val="22"/>
        </w:rPr>
        <w:t>:</w:t>
      </w:r>
    </w:p>
    <w:p w:rsidR="00252391" w:rsidRDefault="008D34B1" w:rsidP="008D34B1">
      <w:pPr>
        <w:spacing w:before="100" w:beforeAutospacing="1" w:after="100" w:afterAutospacing="1"/>
        <w:rPr>
          <w:rFonts w:cs="Arial"/>
          <w:sz w:val="22"/>
          <w:lang w:eastAsia="en-CA"/>
        </w:rPr>
      </w:pPr>
      <w:r w:rsidRPr="008D34B1">
        <w:rPr>
          <w:rFonts w:cs="Arial"/>
          <w:sz w:val="22"/>
          <w:lang w:eastAsia="en-CA"/>
        </w:rPr>
        <w:t xml:space="preserve">Welcome to the Italian class! </w:t>
      </w:r>
      <w:r w:rsidRPr="00636030">
        <w:rPr>
          <w:rFonts w:cs="Arial"/>
          <w:sz w:val="22"/>
          <w:lang w:val="it-IT" w:eastAsia="en-CA"/>
        </w:rPr>
        <w:t xml:space="preserve">Benvenuti alla classe di italiano! </w:t>
      </w:r>
      <w:r w:rsidRPr="008D34B1">
        <w:rPr>
          <w:rFonts w:cs="Arial"/>
          <w:sz w:val="22"/>
          <w:lang w:eastAsia="en-CA"/>
        </w:rPr>
        <w:t>The focus of this introductory Italian class for travellers will be on oral communication where students will be able to express opinions and ideas in prepared and open-ended conversations. This practical and motivational course will also focus on the basic, usable command of the language including at the airport, train station, in a restaurant, or at the hospital. Students will have the opportunity to enrich their language and have an appreciation of the Italian culture through music, food and art.</w:t>
      </w:r>
    </w:p>
    <w:p w:rsidR="008D34B1" w:rsidRDefault="008D34B1" w:rsidP="008D34B1">
      <w:pPr>
        <w:spacing w:before="100" w:beforeAutospacing="1" w:after="100" w:afterAutospacing="1"/>
        <w:rPr>
          <w:sz w:val="22"/>
        </w:rPr>
      </w:pPr>
    </w:p>
    <w:p w:rsidR="00773C49" w:rsidRDefault="00773C49">
      <w:pPr>
        <w:rPr>
          <w:b/>
          <w:bCs/>
          <w:sz w:val="22"/>
          <w:u w:val="single"/>
        </w:rPr>
      </w:pPr>
      <w:r w:rsidRPr="008A0476">
        <w:rPr>
          <w:b/>
          <w:bCs/>
          <w:sz w:val="22"/>
          <w:u w:val="single"/>
        </w:rPr>
        <w:t>RATIONALE:</w:t>
      </w:r>
    </w:p>
    <w:p w:rsidR="00773C49" w:rsidRDefault="00773C49">
      <w:pPr>
        <w:rPr>
          <w:sz w:val="22"/>
        </w:rPr>
      </w:pPr>
    </w:p>
    <w:p w:rsidR="00252391" w:rsidRDefault="00531429">
      <w:pPr>
        <w:rPr>
          <w:sz w:val="22"/>
        </w:rPr>
      </w:pPr>
      <w:r>
        <w:rPr>
          <w:sz w:val="22"/>
        </w:rPr>
        <w:t>To have a better understanding and appreciation of the Italian language and culture.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sz w:val="22"/>
        </w:rPr>
      </w:pPr>
      <w:r>
        <w:rPr>
          <w:sz w:val="22"/>
          <w:u w:val="single"/>
        </w:rPr>
        <w:t>COURSE DELIVERY</w:t>
      </w:r>
      <w:r>
        <w:rPr>
          <w:sz w:val="22"/>
        </w:rPr>
        <w:t>:</w:t>
      </w:r>
    </w:p>
    <w:p w:rsidR="00531429" w:rsidRDefault="00531429">
      <w:pPr>
        <w:pStyle w:val="coHeading"/>
        <w:rPr>
          <w:sz w:val="22"/>
        </w:rPr>
      </w:pPr>
    </w:p>
    <w:p w:rsidR="00773C49" w:rsidRDefault="00773C49">
      <w:pPr>
        <w:rPr>
          <w:sz w:val="22"/>
        </w:rPr>
      </w:pPr>
      <w:r>
        <w:rPr>
          <w:sz w:val="22"/>
        </w:rPr>
        <w:t>The course content will</w:t>
      </w:r>
      <w:r w:rsidRPr="008D34B1">
        <w:rPr>
          <w:b/>
          <w:bCs/>
          <w:sz w:val="22"/>
        </w:rPr>
        <w:t xml:space="preserve"> </w:t>
      </w:r>
      <w:r>
        <w:rPr>
          <w:sz w:val="22"/>
        </w:rPr>
        <w:t xml:space="preserve">be presented through a blend of instructional methods </w:t>
      </w:r>
      <w:r w:rsidR="001D70E1">
        <w:rPr>
          <w:sz w:val="22"/>
        </w:rPr>
        <w:t xml:space="preserve"> where students will learn through vocabulary, expressions, </w:t>
      </w:r>
      <w:r>
        <w:rPr>
          <w:sz w:val="22"/>
        </w:rPr>
        <w:t xml:space="preserve"> </w:t>
      </w:r>
      <w:r w:rsidR="00531429">
        <w:rPr>
          <w:sz w:val="22"/>
        </w:rPr>
        <w:t>dialogues, songs, food, visuals and activities.</w:t>
      </w:r>
    </w:p>
    <w:p w:rsidR="00531429" w:rsidRDefault="00531429">
      <w:pPr>
        <w:rPr>
          <w:sz w:val="22"/>
        </w:rPr>
      </w:pPr>
    </w:p>
    <w:p w:rsidR="00773C49" w:rsidRPr="008A0476" w:rsidRDefault="00773C49">
      <w:pPr>
        <w:rPr>
          <w:b/>
          <w:bCs/>
          <w:sz w:val="22"/>
          <w:u w:val="single"/>
        </w:rPr>
      </w:pPr>
      <w:r w:rsidRPr="008A0476">
        <w:rPr>
          <w:b/>
          <w:bCs/>
          <w:sz w:val="22"/>
          <w:u w:val="single"/>
        </w:rPr>
        <w:t>LEARNING OBJECTIVES/OUTCOMES:</w:t>
      </w:r>
    </w:p>
    <w:p w:rsidR="00773C49" w:rsidRDefault="00773C49">
      <w:pPr>
        <w:widowControl w:val="0"/>
        <w:rPr>
          <w:sz w:val="22"/>
        </w:rPr>
      </w:pPr>
      <w:r w:rsidRPr="008A0476">
        <w:rPr>
          <w:sz w:val="22"/>
        </w:rPr>
        <w:t>Upon successful completion of this course, the student will be able to:</w:t>
      </w:r>
    </w:p>
    <w:p w:rsidR="00531429" w:rsidRDefault="00531429" w:rsidP="00531429">
      <w:pPr>
        <w:widowControl w:val="0"/>
        <w:rPr>
          <w:sz w:val="22"/>
        </w:rPr>
      </w:pPr>
    </w:p>
    <w:p w:rsidR="00773C49" w:rsidRDefault="00B508AC" w:rsidP="00B508AC">
      <w:pPr>
        <w:widowControl w:val="0"/>
        <w:numPr>
          <w:ilvl w:val="0"/>
          <w:numId w:val="13"/>
        </w:numPr>
        <w:rPr>
          <w:sz w:val="22"/>
        </w:rPr>
      </w:pPr>
      <w:r>
        <w:rPr>
          <w:sz w:val="22"/>
        </w:rPr>
        <w:t>h</w:t>
      </w:r>
      <w:r w:rsidR="00531429">
        <w:rPr>
          <w:sz w:val="22"/>
        </w:rPr>
        <w:t>ave a better understanding and appreciation of the Italian language and culture</w:t>
      </w:r>
    </w:p>
    <w:p w:rsidR="00531429" w:rsidRDefault="00531429" w:rsidP="00531429">
      <w:pPr>
        <w:widowControl w:val="0"/>
        <w:rPr>
          <w:sz w:val="22"/>
        </w:rPr>
      </w:pPr>
    </w:p>
    <w:p w:rsidR="00531429" w:rsidRDefault="00B508AC" w:rsidP="00B508AC">
      <w:pPr>
        <w:widowControl w:val="0"/>
        <w:numPr>
          <w:ilvl w:val="0"/>
          <w:numId w:val="13"/>
        </w:numPr>
        <w:rPr>
          <w:sz w:val="22"/>
        </w:rPr>
      </w:pPr>
      <w:r>
        <w:rPr>
          <w:sz w:val="22"/>
        </w:rPr>
        <w:t>i</w:t>
      </w:r>
      <w:r w:rsidR="00531429">
        <w:rPr>
          <w:sz w:val="22"/>
        </w:rPr>
        <w:t>nteract in Italian, listen to Italian conversations and grasp the meaning, converse with a partner, read and solidify the knowledge of vocabulary and expressions (i.e. at the airport, restaurant, hospital, etc.)</w:t>
      </w:r>
    </w:p>
    <w:p w:rsidR="00531429" w:rsidRDefault="00531429" w:rsidP="00531429">
      <w:pPr>
        <w:widowControl w:val="0"/>
        <w:rPr>
          <w:sz w:val="22"/>
        </w:rPr>
      </w:pPr>
    </w:p>
    <w:p w:rsidR="00531429" w:rsidRDefault="00B508AC" w:rsidP="00B508AC">
      <w:pPr>
        <w:widowControl w:val="0"/>
        <w:numPr>
          <w:ilvl w:val="0"/>
          <w:numId w:val="13"/>
        </w:numPr>
        <w:rPr>
          <w:sz w:val="22"/>
        </w:rPr>
      </w:pPr>
      <w:r>
        <w:rPr>
          <w:sz w:val="22"/>
        </w:rPr>
        <w:t>b</w:t>
      </w:r>
      <w:r w:rsidR="00531429">
        <w:rPr>
          <w:sz w:val="22"/>
        </w:rPr>
        <w:t>e more familiar with the Italian language and culture and will feel more comfortable when travelling to Italy</w:t>
      </w:r>
    </w:p>
    <w:p w:rsidR="00773C49" w:rsidRDefault="00773C49">
      <w:pPr>
        <w:rPr>
          <w:rFonts w:cs="Arial"/>
          <w:sz w:val="22"/>
        </w:rPr>
      </w:pPr>
    </w:p>
    <w:p w:rsidR="00773C49" w:rsidRDefault="00773C49">
      <w:pPr>
        <w:ind w:left="720"/>
        <w:rPr>
          <w:rFonts w:cs="Arial"/>
          <w:sz w:val="22"/>
        </w:rPr>
      </w:pPr>
    </w:p>
    <w:p w:rsidR="00773C49" w:rsidRDefault="00773C49">
      <w:pPr>
        <w:pStyle w:val="coHeading"/>
        <w:rPr>
          <w:sz w:val="22"/>
          <w:u w:val="single"/>
        </w:rPr>
      </w:pPr>
      <w:r w:rsidRPr="008A0476">
        <w:rPr>
          <w:sz w:val="22"/>
          <w:u w:val="single"/>
        </w:rPr>
        <w:t>TOPICS</w:t>
      </w:r>
      <w:r>
        <w:rPr>
          <w:sz w:val="22"/>
          <w:u w:val="single"/>
        </w:rPr>
        <w:t xml:space="preserve"> </w:t>
      </w:r>
    </w:p>
    <w:p w:rsidR="00B508AC" w:rsidRDefault="00B508AC">
      <w:pPr>
        <w:pStyle w:val="coHeading"/>
        <w:rPr>
          <w:sz w:val="22"/>
          <w:u w:val="single"/>
        </w:rPr>
      </w:pPr>
    </w:p>
    <w:p w:rsidR="00B508AC" w:rsidRPr="001D70E1" w:rsidRDefault="001D70E1" w:rsidP="00B508AC">
      <w:pPr>
        <w:pStyle w:val="coHeading"/>
        <w:numPr>
          <w:ilvl w:val="0"/>
          <w:numId w:val="12"/>
        </w:numPr>
        <w:rPr>
          <w:sz w:val="22"/>
          <w:u w:val="single"/>
        </w:rPr>
      </w:pPr>
      <w:r>
        <w:rPr>
          <w:b w:val="0"/>
          <w:sz w:val="22"/>
        </w:rPr>
        <w:t xml:space="preserve">alphabet, </w:t>
      </w:r>
      <w:r w:rsidR="008A0476">
        <w:rPr>
          <w:b w:val="0"/>
          <w:sz w:val="22"/>
        </w:rPr>
        <w:t>pronunciation</w:t>
      </w:r>
      <w:r>
        <w:rPr>
          <w:b w:val="0"/>
          <w:sz w:val="22"/>
        </w:rPr>
        <w:t xml:space="preserve">, greetings, every day expressions, numbers, shopping items, expressions used at the airport, train station, customs, restaurant, hospital, how Italians </w:t>
      </w:r>
      <w:r>
        <w:rPr>
          <w:b w:val="0"/>
          <w:sz w:val="22"/>
        </w:rPr>
        <w:lastRenderedPageBreak/>
        <w:t>celebrate various holidays,</w:t>
      </w:r>
      <w:r w:rsidR="00402DBA">
        <w:rPr>
          <w:b w:val="0"/>
          <w:sz w:val="22"/>
        </w:rPr>
        <w:t xml:space="preserve"> listen to and sing </w:t>
      </w:r>
      <w:r>
        <w:rPr>
          <w:b w:val="0"/>
          <w:sz w:val="22"/>
        </w:rPr>
        <w:t xml:space="preserve">famous Italian songs, </w:t>
      </w:r>
      <w:r w:rsidR="00402DBA">
        <w:rPr>
          <w:b w:val="0"/>
          <w:sz w:val="22"/>
        </w:rPr>
        <w:t xml:space="preserve">learn about </w:t>
      </w:r>
      <w:r>
        <w:rPr>
          <w:b w:val="0"/>
          <w:sz w:val="22"/>
        </w:rPr>
        <w:t xml:space="preserve">Italian regions, cities, </w:t>
      </w:r>
      <w:r w:rsidR="00402DBA">
        <w:rPr>
          <w:b w:val="0"/>
          <w:sz w:val="22"/>
        </w:rPr>
        <w:t xml:space="preserve">have a </w:t>
      </w:r>
      <w:r>
        <w:rPr>
          <w:b w:val="0"/>
          <w:sz w:val="22"/>
        </w:rPr>
        <w:t xml:space="preserve">tasting of Italian foods and </w:t>
      </w:r>
      <w:r w:rsidR="00402DBA">
        <w:rPr>
          <w:b w:val="0"/>
          <w:sz w:val="22"/>
        </w:rPr>
        <w:t xml:space="preserve">reinforce the learning with </w:t>
      </w:r>
      <w:r>
        <w:rPr>
          <w:b w:val="0"/>
          <w:sz w:val="22"/>
        </w:rPr>
        <w:t>hands-on activities</w:t>
      </w:r>
      <w:r w:rsidR="00402DBA">
        <w:rPr>
          <w:b w:val="0"/>
          <w:sz w:val="22"/>
        </w:rPr>
        <w:t xml:space="preserve"> and handouts given at each  class</w:t>
      </w:r>
    </w:p>
    <w:p w:rsidR="001D70E1" w:rsidRDefault="001D70E1" w:rsidP="00B508AC">
      <w:pPr>
        <w:pStyle w:val="coHeading"/>
        <w:numPr>
          <w:ilvl w:val="0"/>
          <w:numId w:val="12"/>
        </w:numPr>
        <w:rPr>
          <w:sz w:val="22"/>
          <w:u w:val="single"/>
        </w:rPr>
      </w:pPr>
      <w:r>
        <w:rPr>
          <w:b w:val="0"/>
          <w:sz w:val="22"/>
        </w:rPr>
        <w:t>the concentration of the course is oral communication skills, not grammar</w:t>
      </w:r>
    </w:p>
    <w:p w:rsidR="00773C49" w:rsidRDefault="00773C49">
      <w:pPr>
        <w:rPr>
          <w:sz w:val="22"/>
        </w:rPr>
      </w:pPr>
    </w:p>
    <w:p w:rsidR="00773C49" w:rsidRDefault="00773C49">
      <w:pPr>
        <w:rPr>
          <w:sz w:val="22"/>
        </w:rPr>
      </w:pPr>
    </w:p>
    <w:p w:rsidR="00773C49" w:rsidRDefault="00773C49">
      <w:pPr>
        <w:pStyle w:val="coHeading"/>
        <w:rPr>
          <w:b w:val="0"/>
          <w:sz w:val="22"/>
        </w:rPr>
      </w:pPr>
      <w:r>
        <w:rPr>
          <w:sz w:val="22"/>
          <w:u w:val="single"/>
        </w:rPr>
        <w:t>REQUIRED COURSE MATERIAL:</w:t>
      </w:r>
      <w:r>
        <w:rPr>
          <w:sz w:val="22"/>
        </w:rPr>
        <w:t xml:space="preserve"> </w:t>
      </w:r>
    </w:p>
    <w:p w:rsidR="00773C49" w:rsidRDefault="00773C49">
      <w:pPr>
        <w:rPr>
          <w:sz w:val="22"/>
        </w:rPr>
      </w:pPr>
    </w:p>
    <w:p w:rsidR="008A0476" w:rsidRDefault="008A0476" w:rsidP="001D70E1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CIAO! Textbook</w:t>
      </w:r>
      <w:r w:rsidR="001D70E1">
        <w:rPr>
          <w:sz w:val="22"/>
        </w:rPr>
        <w:t xml:space="preserve"> </w:t>
      </w:r>
    </w:p>
    <w:p w:rsidR="001D70E1" w:rsidRDefault="001D70E1" w:rsidP="001D70E1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handouts will be given out at each class</w:t>
      </w:r>
    </w:p>
    <w:p w:rsidR="00773C49" w:rsidRDefault="00773C49">
      <w:pPr>
        <w:rPr>
          <w:sz w:val="22"/>
        </w:rPr>
      </w:pPr>
    </w:p>
    <w:p w:rsidR="00773C49" w:rsidRPr="008A0476" w:rsidRDefault="00773C49">
      <w:pPr>
        <w:pStyle w:val="Heading1"/>
      </w:pPr>
      <w:r w:rsidRPr="008A0476">
        <w:t>STUDENT EVALUATION</w:t>
      </w:r>
    </w:p>
    <w:p w:rsidR="00773C49" w:rsidRDefault="00773C49">
      <w:pPr>
        <w:rPr>
          <w:sz w:val="22"/>
        </w:rPr>
      </w:pPr>
      <w:r w:rsidRPr="008A0476">
        <w:rPr>
          <w:sz w:val="22"/>
        </w:rPr>
        <w:t>Students will:</w:t>
      </w:r>
    </w:p>
    <w:p w:rsidR="00773C49" w:rsidRDefault="00773C49">
      <w:pPr>
        <w:rPr>
          <w:sz w:val="22"/>
        </w:rPr>
      </w:pPr>
    </w:p>
    <w:p w:rsidR="00773C49" w:rsidRDefault="00B8653D" w:rsidP="00B8653D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have an enjoyable class by participating in a variety of topics and events</w:t>
      </w:r>
      <w:r w:rsidR="005A0A6B">
        <w:rPr>
          <w:sz w:val="22"/>
        </w:rPr>
        <w:t xml:space="preserve"> in the classroom</w:t>
      </w:r>
    </w:p>
    <w:p w:rsidR="008A0476" w:rsidRDefault="008A0476" w:rsidP="008A0476">
      <w:pPr>
        <w:widowControl w:val="0"/>
        <w:rPr>
          <w:sz w:val="22"/>
        </w:rPr>
      </w:pPr>
      <w:bookmarkStart w:id="0" w:name="_GoBack"/>
      <w:bookmarkEnd w:id="0"/>
    </w:p>
    <w:p w:rsidR="008A0476" w:rsidRDefault="008A0476" w:rsidP="008A0476">
      <w:pPr>
        <w:widowControl w:val="0"/>
        <w:rPr>
          <w:sz w:val="22"/>
        </w:rPr>
      </w:pPr>
      <w:r>
        <w:rPr>
          <w:sz w:val="22"/>
        </w:rPr>
        <w:t>At the end of the semester, the student will receive a final report noting his/her progress in relation to the learning outcomes.  The student’s progress will be recorded using the following grades.</w:t>
      </w:r>
    </w:p>
    <w:p w:rsidR="008A0476" w:rsidRDefault="008A0476" w:rsidP="008A0476">
      <w:pPr>
        <w:widowControl w:val="0"/>
        <w:rPr>
          <w:sz w:val="22"/>
        </w:rPr>
      </w:pPr>
    </w:p>
    <w:p w:rsidR="008A0476" w:rsidRDefault="008A0476" w:rsidP="008A0476">
      <w:pPr>
        <w:widowControl w:val="0"/>
        <w:rPr>
          <w:rFonts w:cs="Arial"/>
          <w:sz w:val="22"/>
        </w:rPr>
      </w:pPr>
      <w:r>
        <w:rPr>
          <w:b/>
          <w:bCs/>
          <w:sz w:val="22"/>
        </w:rPr>
        <w:t>S</w:t>
      </w:r>
      <w:r>
        <w:rPr>
          <w:sz w:val="22"/>
        </w:rPr>
        <w:t xml:space="preserve"> - </w:t>
      </w:r>
      <w:r>
        <w:rPr>
          <w:rFonts w:cs="Arial"/>
          <w:sz w:val="22"/>
        </w:rPr>
        <w:t>Satisfactory achievement in field /clinical placement or non-graded subject area.</w:t>
      </w:r>
    </w:p>
    <w:p w:rsidR="008A0476" w:rsidRDefault="008A0476" w:rsidP="008A0476">
      <w:pPr>
        <w:widowControl w:val="0"/>
        <w:rPr>
          <w:rFonts w:cs="Arial"/>
          <w:sz w:val="22"/>
        </w:rPr>
      </w:pPr>
    </w:p>
    <w:p w:rsidR="008A0476" w:rsidRDefault="008A0476" w:rsidP="008A0476">
      <w:pPr>
        <w:widowControl w:val="0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U </w:t>
      </w:r>
      <w:r>
        <w:rPr>
          <w:rFonts w:cs="Arial"/>
          <w:sz w:val="22"/>
        </w:rPr>
        <w:t>- Unsatisfactory achievement in field/clinical placement or non-graded subject area</w:t>
      </w:r>
    </w:p>
    <w:p w:rsidR="00773C49" w:rsidRDefault="00773C49">
      <w:pPr>
        <w:pStyle w:val="coBody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2934"/>
      </w:tblGrid>
      <w:tr w:rsidR="00773C4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448" w:type="dxa"/>
          </w:tcPr>
          <w:p w:rsidR="00773C49" w:rsidRDefault="00773C49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Teaching Contact</w:t>
            </w:r>
          </w:p>
        </w:tc>
        <w:tc>
          <w:tcPr>
            <w:tcW w:w="2934" w:type="dxa"/>
          </w:tcPr>
          <w:p w:rsidR="00773C49" w:rsidRDefault="008D34B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Silvana Carlascio</w:t>
            </w:r>
          </w:p>
        </w:tc>
      </w:tr>
      <w:tr w:rsidR="00773C49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773C49" w:rsidRDefault="00773C49">
            <w:pPr>
              <w:pStyle w:val="coHeading"/>
              <w:rPr>
                <w:sz w:val="22"/>
              </w:rPr>
            </w:pPr>
          </w:p>
        </w:tc>
        <w:tc>
          <w:tcPr>
            <w:tcW w:w="2934" w:type="dxa"/>
          </w:tcPr>
          <w:p w:rsidR="00773C49" w:rsidRDefault="00773C49">
            <w:pPr>
              <w:pStyle w:val="coBody"/>
              <w:rPr>
                <w:sz w:val="22"/>
              </w:rPr>
            </w:pPr>
          </w:p>
        </w:tc>
      </w:tr>
      <w:tr w:rsidR="00773C49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773C49" w:rsidRDefault="00773C49">
            <w:pPr>
              <w:pStyle w:val="coHeading"/>
              <w:rPr>
                <w:sz w:val="22"/>
              </w:rPr>
            </w:pPr>
            <w:r>
              <w:rPr>
                <w:sz w:val="22"/>
              </w:rPr>
              <w:t>Academic Manager Signature</w:t>
            </w:r>
          </w:p>
        </w:tc>
        <w:tc>
          <w:tcPr>
            <w:tcW w:w="2934" w:type="dxa"/>
            <w:vAlign w:val="bottom"/>
          </w:tcPr>
          <w:p w:rsidR="00773C49" w:rsidRDefault="008D34B1">
            <w:pPr>
              <w:pStyle w:val="coBody"/>
              <w:rPr>
                <w:sz w:val="22"/>
              </w:rPr>
            </w:pPr>
            <w:r>
              <w:rPr>
                <w:sz w:val="22"/>
              </w:rPr>
              <w:t>“Laurie Poirier”</w:t>
            </w:r>
          </w:p>
        </w:tc>
      </w:tr>
    </w:tbl>
    <w:p w:rsidR="00773C49" w:rsidRDefault="00773C49">
      <w:pPr>
        <w:pStyle w:val="coBody"/>
        <w:rPr>
          <w:sz w:val="22"/>
        </w:rPr>
      </w:pPr>
    </w:p>
    <w:p w:rsidR="00773C49" w:rsidRDefault="00773C49">
      <w:pPr>
        <w:widowControl w:val="0"/>
        <w:rPr>
          <w:sz w:val="22"/>
        </w:rPr>
      </w:pPr>
    </w:p>
    <w:tbl>
      <w:tblPr>
        <w:tblpPr w:leftFromText="180" w:rightFromText="180" w:vertAnchor="text" w:horzAnchor="margin" w:tblpY="977"/>
        <w:tblW w:w="10800" w:type="dxa"/>
        <w:tblLayout w:type="fixed"/>
        <w:tblLook w:val="0000" w:firstRow="0" w:lastRow="0" w:firstColumn="0" w:lastColumn="0" w:noHBand="0" w:noVBand="0"/>
      </w:tblPr>
      <w:tblGrid>
        <w:gridCol w:w="2970"/>
        <w:gridCol w:w="7830"/>
      </w:tblGrid>
      <w:tr w:rsidR="00773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</w:tcPr>
          <w:p w:rsidR="00773C49" w:rsidRDefault="00773C49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NOTICE TO ALL STUDENTS:</w:t>
            </w:r>
          </w:p>
        </w:tc>
        <w:tc>
          <w:tcPr>
            <w:tcW w:w="7830" w:type="dxa"/>
          </w:tcPr>
          <w:p w:rsidR="00773C49" w:rsidRDefault="00773C49">
            <w:pPr>
              <w:pStyle w:val="coBody"/>
              <w:rPr>
                <w:sz w:val="22"/>
              </w:rPr>
            </w:pPr>
            <w:r>
              <w:rPr>
                <w:sz w:val="22"/>
                <w:lang w:val="en-GB"/>
              </w:rPr>
              <w:t>We urge you to retain this course outline for future reference. There is a charge for additional copies.</w:t>
            </w:r>
          </w:p>
          <w:p w:rsidR="00773C49" w:rsidRDefault="00773C49">
            <w:pPr>
              <w:pStyle w:val="coBody"/>
              <w:rPr>
                <w:sz w:val="22"/>
              </w:rPr>
            </w:pPr>
          </w:p>
        </w:tc>
      </w:tr>
    </w:tbl>
    <w:p w:rsidR="00773C49" w:rsidRDefault="00773C49">
      <w:pPr>
        <w:widowControl w:val="0"/>
        <w:rPr>
          <w:sz w:val="22"/>
        </w:rPr>
      </w:pPr>
    </w:p>
    <w:sectPr w:rsidR="00773C49">
      <w:headerReference w:type="even" r:id="rId10"/>
      <w:headerReference w:type="default" r:id="rId11"/>
      <w:pgSz w:w="12240" w:h="15840"/>
      <w:pgMar w:top="1296" w:right="1152" w:bottom="129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76" w:rsidRDefault="008A0476">
      <w:r>
        <w:separator/>
      </w:r>
    </w:p>
  </w:endnote>
  <w:endnote w:type="continuationSeparator" w:id="0">
    <w:p w:rsidR="008A0476" w:rsidRDefault="008A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76" w:rsidRDefault="008A0476">
      <w:r>
        <w:separator/>
      </w:r>
    </w:p>
  </w:footnote>
  <w:footnote w:type="continuationSeparator" w:id="0">
    <w:p w:rsidR="008A0476" w:rsidRDefault="008A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49" w:rsidRDefault="00773C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73C49" w:rsidRDefault="00773C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49" w:rsidRDefault="00773C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476">
      <w:rPr>
        <w:rStyle w:val="PageNumber"/>
        <w:noProof/>
      </w:rPr>
      <w:t>1</w:t>
    </w:r>
    <w:r>
      <w:rPr>
        <w:rStyle w:val="PageNumber"/>
      </w:rPr>
      <w:fldChar w:fldCharType="end"/>
    </w:r>
  </w:p>
  <w:p w:rsidR="00773C49" w:rsidRDefault="00773C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F38"/>
    <w:multiLevelType w:val="hybridMultilevel"/>
    <w:tmpl w:val="EDBE4548"/>
    <w:lvl w:ilvl="0" w:tplc="A2A8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D4E82"/>
    <w:multiLevelType w:val="hybridMultilevel"/>
    <w:tmpl w:val="1C7E5888"/>
    <w:lvl w:ilvl="0" w:tplc="A2A8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D518E"/>
    <w:multiLevelType w:val="hybridMultilevel"/>
    <w:tmpl w:val="DD4EA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432E94"/>
    <w:multiLevelType w:val="hybridMultilevel"/>
    <w:tmpl w:val="2F064C68"/>
    <w:lvl w:ilvl="0" w:tplc="0822603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CE6F7B"/>
    <w:multiLevelType w:val="hybridMultilevel"/>
    <w:tmpl w:val="41F0FAC8"/>
    <w:lvl w:ilvl="0" w:tplc="A2A8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0449D"/>
    <w:multiLevelType w:val="hybridMultilevel"/>
    <w:tmpl w:val="BBD442A6"/>
    <w:lvl w:ilvl="0" w:tplc="A2A8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541A"/>
    <w:multiLevelType w:val="hybridMultilevel"/>
    <w:tmpl w:val="48509C90"/>
    <w:lvl w:ilvl="0" w:tplc="3B76A7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A6174A"/>
    <w:multiLevelType w:val="hybridMultilevel"/>
    <w:tmpl w:val="5726E1D4"/>
    <w:lvl w:ilvl="0" w:tplc="A2A8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E47E0"/>
    <w:multiLevelType w:val="hybridMultilevel"/>
    <w:tmpl w:val="8BB8B54E"/>
    <w:lvl w:ilvl="0" w:tplc="0F686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05762"/>
    <w:multiLevelType w:val="hybridMultilevel"/>
    <w:tmpl w:val="48509C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6C32A2"/>
    <w:multiLevelType w:val="hybridMultilevel"/>
    <w:tmpl w:val="6A7E03FA"/>
    <w:lvl w:ilvl="0" w:tplc="A2A8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80383"/>
    <w:multiLevelType w:val="hybridMultilevel"/>
    <w:tmpl w:val="C0864ED0"/>
    <w:lvl w:ilvl="0" w:tplc="42F05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F4E97"/>
    <w:multiLevelType w:val="hybridMultilevel"/>
    <w:tmpl w:val="8236DE68"/>
    <w:lvl w:ilvl="0" w:tplc="8FB80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92D50"/>
    <w:multiLevelType w:val="hybridMultilevel"/>
    <w:tmpl w:val="B3961FD2"/>
    <w:lvl w:ilvl="0" w:tplc="A2A8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76"/>
    <w:rsid w:val="000A7976"/>
    <w:rsid w:val="00167A73"/>
    <w:rsid w:val="001D70E1"/>
    <w:rsid w:val="00217402"/>
    <w:rsid w:val="00252391"/>
    <w:rsid w:val="0026537D"/>
    <w:rsid w:val="00305A7D"/>
    <w:rsid w:val="00402DBA"/>
    <w:rsid w:val="00531429"/>
    <w:rsid w:val="005A0A6B"/>
    <w:rsid w:val="00632806"/>
    <w:rsid w:val="00636030"/>
    <w:rsid w:val="006B07F6"/>
    <w:rsid w:val="00773C49"/>
    <w:rsid w:val="008A0476"/>
    <w:rsid w:val="008D34B1"/>
    <w:rsid w:val="009701DE"/>
    <w:rsid w:val="00A70DB6"/>
    <w:rsid w:val="00B508AC"/>
    <w:rsid w:val="00B8653D"/>
    <w:rsid w:val="00B91617"/>
    <w:rsid w:val="00F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Body">
    <w:name w:val="coBody"/>
    <w:basedOn w:val="Normal"/>
    <w:rPr>
      <w:sz w:val="20"/>
      <w:szCs w:val="20"/>
      <w:lang w:val="en-US"/>
    </w:rPr>
  </w:style>
  <w:style w:type="paragraph" w:customStyle="1" w:styleId="coHeading">
    <w:name w:val="coHeading"/>
    <w:basedOn w:val="Normal"/>
    <w:rPr>
      <w:b/>
      <w:sz w:val="23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iddaugh\AppData\Local\Microsoft\Windows\Temporary%20Internet%20Files\Content.Outlook\JLW6V7P7\Italian%20for%20Travell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FE079-B3BC-42C8-84E7-0AB05BF46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14C09-6906-4990-9843-F06AC76E162D}"/>
</file>

<file path=customXml/itemProps3.xml><?xml version="1.0" encoding="utf-8"?>
<ds:datastoreItem xmlns:ds="http://schemas.openxmlformats.org/officeDocument/2006/customXml" ds:itemID="{3D9744C6-DC63-49AF-9359-D846EC90FE2D}"/>
</file>

<file path=customXml/itemProps4.xml><?xml version="1.0" encoding="utf-8"?>
<ds:datastoreItem xmlns:ds="http://schemas.openxmlformats.org/officeDocument/2006/customXml" ds:itemID="{954C74E6-9CB5-4BAF-8371-964BDD41BEDD}"/>
</file>

<file path=docProps/app.xml><?xml version="1.0" encoding="utf-8"?>
<Properties xmlns="http://schemas.openxmlformats.org/officeDocument/2006/extended-properties" xmlns:vt="http://schemas.openxmlformats.org/officeDocument/2006/docPropsVTypes">
  <Template>Italian for Travellers.dot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05W – CED1034</vt:lpstr>
    </vt:vector>
  </TitlesOfParts>
  <Company>Sault College of Applied Arts &amp; Technology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05W – CED1034</dc:title>
  <dc:creator>Windows User</dc:creator>
  <cp:lastModifiedBy>Windows User</cp:lastModifiedBy>
  <cp:revision>1</cp:revision>
  <cp:lastPrinted>2005-06-28T13:03:00Z</cp:lastPrinted>
  <dcterms:created xsi:type="dcterms:W3CDTF">2013-03-22T18:32:00Z</dcterms:created>
  <dcterms:modified xsi:type="dcterms:W3CDTF">2013-03-22T18:35:00Z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9557800</vt:r8>
  </property>
</Properties>
</file>